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7357"/>
      </w:tblGrid>
      <w:tr w:rsidR="0094580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7E007E"/>
            <w:vAlign w:val="center"/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Patología </w:t>
            </w:r>
          </w:p>
        </w:tc>
        <w:tc>
          <w:tcPr>
            <w:tcW w:w="735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7E007E"/>
          </w:tcPr>
          <w:p w:rsidR="0094580E" w:rsidRDefault="0094580E">
            <w:pPr>
              <w:pStyle w:val="Default"/>
              <w:rPr>
                <w:sz w:val="13"/>
                <w:szCs w:val="13"/>
              </w:rPr>
            </w:pPr>
            <w:r>
              <w:rPr>
                <w:b/>
                <w:bCs/>
                <w:sz w:val="20"/>
                <w:szCs w:val="20"/>
              </w:rPr>
              <w:t>Tratamiento</w:t>
            </w:r>
            <w:r>
              <w:rPr>
                <w:b/>
                <w:bCs/>
                <w:sz w:val="13"/>
                <w:szCs w:val="13"/>
              </w:rPr>
              <w:t xml:space="preserve">1 </w:t>
            </w:r>
          </w:p>
        </w:tc>
      </w:tr>
      <w:tr w:rsidR="0094580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Balanitis </w:t>
            </w:r>
            <w:proofErr w:type="spellStart"/>
            <w:r>
              <w:rPr>
                <w:b/>
                <w:bCs/>
                <w:sz w:val="20"/>
                <w:szCs w:val="20"/>
              </w:rPr>
              <w:t>candidiásica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Clotrimazol 1% crema, mañana y noche, durante 10-14 días </w:t>
            </w:r>
          </w:p>
        </w:tc>
      </w:tr>
      <w:tr w:rsidR="0094580E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Chancroide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Azitromicina 1 g, dosis única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Ceftriaxona</w:t>
            </w:r>
            <w:proofErr w:type="spellEnd"/>
            <w:r>
              <w:rPr>
                <w:sz w:val="20"/>
                <w:szCs w:val="20"/>
              </w:rPr>
              <w:t xml:space="preserve"> 250 mg, IM dosis única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Ciprofloxacino</w:t>
            </w:r>
            <w:proofErr w:type="spellEnd"/>
            <w:r>
              <w:rPr>
                <w:sz w:val="20"/>
                <w:szCs w:val="20"/>
              </w:rPr>
              <w:t xml:space="preserve"> 500 mg, dos veces al día durante 3 días (Contraindicado en el embarazo)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Eritromicina 500 mg, tres veces al día durante 7 días </w:t>
            </w:r>
          </w:p>
        </w:tc>
      </w:tr>
      <w:tr w:rsidR="0094580E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Clamidiasis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Azitromicina 1 g, dosis única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Doxiciclina 100 mg, dos veces al día durante 7 días Regímenes alternativos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Eritromicina base 500 mg, cuatro veces al día durante 7 días u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Ofloxacino</w:t>
            </w:r>
            <w:proofErr w:type="spellEnd"/>
            <w:r>
              <w:rPr>
                <w:sz w:val="20"/>
                <w:szCs w:val="20"/>
              </w:rPr>
              <w:t xml:space="preserve"> 300 mg, dos veces al día durante 7 días </w:t>
            </w:r>
          </w:p>
        </w:tc>
      </w:tr>
      <w:tr w:rsidR="0094580E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1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Donovanosis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Doxiciclina 100 mg, dos veces al día durante 21 días Regímenes alternativos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Azitromicina 1 g, una vez por semana durante 21 días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Ciprofloxacino</w:t>
            </w:r>
            <w:proofErr w:type="spellEnd"/>
            <w:r>
              <w:rPr>
                <w:sz w:val="20"/>
                <w:szCs w:val="20"/>
              </w:rPr>
              <w:t xml:space="preserve"> 750 mg dos veces al día durante 21 días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Eritromicina 500 mg cuatro veces al día durante 21 días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Trimetoprim-sulfametoxazol</w:t>
            </w:r>
            <w:proofErr w:type="spellEnd"/>
            <w:r>
              <w:rPr>
                <w:sz w:val="20"/>
                <w:szCs w:val="20"/>
              </w:rPr>
              <w:t xml:space="preserve"> 160mg/800 mg dos veces al día durante 21 días </w:t>
            </w:r>
          </w:p>
        </w:tc>
      </w:tr>
      <w:tr w:rsidR="0094580E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Escabiosis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Permetrina</w:t>
            </w:r>
            <w:proofErr w:type="spellEnd"/>
            <w:r>
              <w:rPr>
                <w:sz w:val="20"/>
                <w:szCs w:val="20"/>
              </w:rPr>
              <w:t xml:space="preserve"> crema 5% (aplicar en todo el cuerpo desde el cuello y lavar al cabo de 8-14 horas) Regímenes alternativos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Lindano</w:t>
            </w:r>
            <w:proofErr w:type="spellEnd"/>
            <w:r>
              <w:rPr>
                <w:sz w:val="20"/>
                <w:szCs w:val="20"/>
              </w:rPr>
              <w:t xml:space="preserve"> 1% (aplicar finamente en todas las áreas afectadas y lavar transcurridas 8 horas) Medidas de </w:t>
            </w:r>
            <w:proofErr w:type="spellStart"/>
            <w:r>
              <w:rPr>
                <w:sz w:val="20"/>
                <w:szCs w:val="20"/>
              </w:rPr>
              <w:t>desinfestación</w:t>
            </w:r>
            <w:proofErr w:type="spellEnd"/>
            <w:r>
              <w:rPr>
                <w:sz w:val="20"/>
                <w:szCs w:val="20"/>
              </w:rPr>
              <w:t xml:space="preserve">: Lavar la ropa potencialmente contaminada a elevada temperatura (&gt;50ºC) o mantenerla en una bolsa de plástico al menos 72 horas </w:t>
            </w:r>
          </w:p>
        </w:tc>
      </w:tr>
      <w:tr w:rsidR="0094580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Default="0094580E">
            <w:pPr>
              <w:pStyle w:val="Default"/>
              <w:rPr>
                <w:sz w:val="13"/>
                <w:szCs w:val="13"/>
              </w:rPr>
            </w:pPr>
            <w:r>
              <w:rPr>
                <w:b/>
                <w:bCs/>
                <w:sz w:val="20"/>
                <w:szCs w:val="20"/>
              </w:rPr>
              <w:t>Gonococia</w:t>
            </w:r>
            <w:r>
              <w:rPr>
                <w:b/>
                <w:bCs/>
                <w:sz w:val="13"/>
                <w:szCs w:val="13"/>
              </w:rPr>
              <w:t xml:space="preserve">2 </w:t>
            </w:r>
          </w:p>
        </w:tc>
        <w:tc>
          <w:tcPr>
            <w:tcW w:w="73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Ceftriaxona</w:t>
            </w:r>
            <w:proofErr w:type="spellEnd"/>
            <w:r>
              <w:rPr>
                <w:sz w:val="20"/>
                <w:szCs w:val="20"/>
              </w:rPr>
              <w:t xml:space="preserve"> 250 mg IM, dosis única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Cefixima</w:t>
            </w:r>
            <w:proofErr w:type="spellEnd"/>
            <w:r>
              <w:rPr>
                <w:sz w:val="20"/>
                <w:szCs w:val="20"/>
              </w:rPr>
              <w:t xml:space="preserve"> 400 mg, dosis única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4580E">
        <w:tblPrEx>
          <w:tblCellMar>
            <w:top w:w="0" w:type="dxa"/>
            <w:bottom w:w="0" w:type="dxa"/>
          </w:tblCellMar>
        </w:tblPrEx>
        <w:trPr>
          <w:trHeight w:val="2103"/>
        </w:trPr>
        <w:tc>
          <w:tcPr>
            <w:tcW w:w="16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Herpes genital </w:t>
            </w:r>
          </w:p>
        </w:tc>
        <w:tc>
          <w:tcPr>
            <w:tcW w:w="735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4580E" w:rsidRDefault="009458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episodio clínico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Aciclovir 400 mg, tres veces al día durante 7-10 días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Famciclovir</w:t>
            </w:r>
            <w:proofErr w:type="spellEnd"/>
            <w:r>
              <w:rPr>
                <w:sz w:val="20"/>
                <w:szCs w:val="20"/>
              </w:rPr>
              <w:t xml:space="preserve"> 250 mg, tres veces al día durante 7-10 días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Valaciclovir</w:t>
            </w:r>
            <w:proofErr w:type="spellEnd"/>
            <w:r>
              <w:rPr>
                <w:sz w:val="20"/>
                <w:szCs w:val="20"/>
              </w:rPr>
              <w:t xml:space="preserve"> 1000 mg, dos veces al día durante 7-10 días Terapia episódica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Aciclovir 400 mg, tres veces al día durante 5 días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Aciclovir 800 mg, tres veces al día durante 2 días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Famciclovir</w:t>
            </w:r>
            <w:proofErr w:type="spellEnd"/>
            <w:r>
              <w:rPr>
                <w:sz w:val="20"/>
                <w:szCs w:val="20"/>
              </w:rPr>
              <w:t xml:space="preserve"> 125 mg, dos veces al día por durante 5 días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Famciclovir</w:t>
            </w:r>
            <w:proofErr w:type="spellEnd"/>
            <w:r>
              <w:rPr>
                <w:sz w:val="20"/>
                <w:szCs w:val="20"/>
              </w:rPr>
              <w:t xml:space="preserve"> 1000 mg, dos veces al día durante 1 día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Valaciclovir</w:t>
            </w:r>
            <w:proofErr w:type="spellEnd"/>
            <w:r>
              <w:rPr>
                <w:sz w:val="20"/>
                <w:szCs w:val="20"/>
              </w:rPr>
              <w:t xml:space="preserve"> 1000 mg, diario durante 5 días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Valaciclovir</w:t>
            </w:r>
            <w:proofErr w:type="spellEnd"/>
            <w:r>
              <w:rPr>
                <w:sz w:val="20"/>
                <w:szCs w:val="20"/>
              </w:rPr>
              <w:t xml:space="preserve"> 500 mg, dos veces al día durante 3 días Terapia supresora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Aciclovir 400 mg, dos veces al día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Famciclovir</w:t>
            </w:r>
            <w:proofErr w:type="spellEnd"/>
            <w:r>
              <w:rPr>
                <w:sz w:val="20"/>
                <w:szCs w:val="20"/>
              </w:rPr>
              <w:t xml:space="preserve"> 250 mg, dos veces al día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Valaciclovir</w:t>
            </w:r>
            <w:proofErr w:type="spellEnd"/>
            <w:r>
              <w:rPr>
                <w:sz w:val="20"/>
                <w:szCs w:val="20"/>
              </w:rPr>
              <w:t xml:space="preserve"> 500 mg, una vez al día </w:t>
            </w:r>
            <w:proofErr w:type="spellStart"/>
            <w:r>
              <w:rPr>
                <w:sz w:val="20"/>
                <w:szCs w:val="20"/>
              </w:rPr>
              <w:t>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Valaciclovir</w:t>
            </w:r>
            <w:proofErr w:type="spellEnd"/>
            <w:r>
              <w:rPr>
                <w:sz w:val="20"/>
                <w:szCs w:val="20"/>
              </w:rPr>
              <w:t xml:space="preserve"> 1gr, una vez al día </w:t>
            </w:r>
          </w:p>
        </w:tc>
      </w:tr>
    </w:tbl>
    <w:p w:rsidR="00F1757A" w:rsidRDefault="0094580E"/>
    <w:tbl>
      <w:tblPr>
        <w:tblW w:w="0" w:type="auto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5387"/>
        <w:gridCol w:w="1790"/>
      </w:tblGrid>
      <w:tr w:rsidR="0094580E" w:rsidRPr="0094580E">
        <w:tblPrEx>
          <w:tblCellMar>
            <w:top w:w="0" w:type="dxa"/>
            <w:bottom w:w="0" w:type="dxa"/>
          </w:tblCellMar>
        </w:tblPrEx>
        <w:trPr>
          <w:gridAfter w:val="1"/>
          <w:wAfter w:w="895" w:type="dxa"/>
          <w:trHeight w:val="120"/>
        </w:trPr>
        <w:tc>
          <w:tcPr>
            <w:tcW w:w="71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7E007E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Tratamiento</w:t>
            </w:r>
            <w:r w:rsidRPr="0094580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1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790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Linfogranuloma </w:t>
            </w:r>
          </w:p>
        </w:tc>
        <w:tc>
          <w:tcPr>
            <w:tcW w:w="7177" w:type="dxa"/>
            <w:gridSpan w:val="2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Doxiciclina 100 mg, dos veces al día durante 21 días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790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venéreo </w:t>
            </w:r>
          </w:p>
        </w:tc>
        <w:tc>
          <w:tcPr>
            <w:tcW w:w="7177" w:type="dxa"/>
            <w:gridSpan w:val="2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Régimen alternativo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Eritromicina base 500 mg, cuatro veces al día durante 21 días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790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Pediculosis </w:t>
            </w:r>
          </w:p>
        </w:tc>
        <w:tc>
          <w:tcPr>
            <w:tcW w:w="7177" w:type="dxa"/>
            <w:gridSpan w:val="2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Permetrina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crema 1% (aplicar en zona afectada y lavar al cabo de 10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1790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Pubis </w:t>
            </w:r>
          </w:p>
        </w:tc>
        <w:tc>
          <w:tcPr>
            <w:tcW w:w="7177" w:type="dxa"/>
            <w:gridSpan w:val="2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minutos)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Piretrinas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butóxido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piperonilo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(aplicar en zona afectada y lavar al cabo de 10 minutos) Régimen alternativo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Malation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0,5% loción aplicada dejando actuar 8-12 horas y lavar posteriormente Medidas de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desinfestación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: Lavar la ropa potencialmente contaminada a elevada temperatura (&gt;50ºC), o mantenerla en una bolsa de plástico al menos 72 horas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17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Sífilis</w:t>
            </w:r>
            <w:r w:rsidRPr="0094580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3 </w:t>
            </w:r>
          </w:p>
        </w:tc>
        <w:tc>
          <w:tcPr>
            <w:tcW w:w="7177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Primaria, Secundaria, Latente precoz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Penicilina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benzatina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G, 2.4 millones de unidades IM, dosis única Si alergia a la penicilina: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Doxiciclina 100 mg, dos veces al día durante 14 días Latente tardía o de duración incierta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Penicilina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benzatina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G, 2.4 millones unidades IM, tres dosis separadas entre sí 1 semana Si alergia a penicilina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Doxiciclina 100 mg, dos veces al día durante 28 días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Neurosífilis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Penicilina G cristalina acuosa, 18-24 millones unidades diarias, vía IV, repartidas en 3-4 millones unidades cada 4 horas o la dosis total en infusión continua durante 10-14 días Régimen alternativo </w:t>
            </w:r>
            <w:r w:rsidRPr="0094580E">
              <w:rPr>
                <w:rFonts w:ascii="Tahoma" w:hAnsi="Tahoma" w:cs="Tahoma"/>
                <w:color w:val="000000"/>
                <w:sz w:val="23"/>
                <w:szCs w:val="23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Penicilina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procaína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2,4 millones unidades IM diariamente más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probenecid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500 mg 4 veces al día vía oral, manteniendo ambos fármacos durante 1014 días </w:t>
            </w:r>
          </w:p>
        </w:tc>
      </w:tr>
    </w:tbl>
    <w:p w:rsidR="0094580E" w:rsidRDefault="0094580E"/>
    <w:p w:rsidR="0094580E" w:rsidRDefault="0094580E">
      <w:bookmarkStart w:id="0" w:name="_GoBack"/>
      <w:bookmarkEnd w:id="0"/>
    </w:p>
    <w:tbl>
      <w:tblPr>
        <w:tblW w:w="0" w:type="auto"/>
        <w:tblInd w:w="-1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7177"/>
      </w:tblGrid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7E007E"/>
            <w:vAlign w:val="center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Patología </w:t>
            </w:r>
          </w:p>
        </w:tc>
        <w:tc>
          <w:tcPr>
            <w:tcW w:w="717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7E007E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Tratamiento</w:t>
            </w:r>
            <w:r w:rsidRPr="0094580E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1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Tricomoniasis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Metronidazol 2 g, dosis única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Tinidazol 2 g, dosis única Régimen alternativo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Metronidazol 500 mg, dos veces al día durante 7 días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Uretritis no especificada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Cefixima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400 mg, dosis única + Azitromicina 1 g, dosis única Régimen alternativo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Ceftriaxona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250 mg IM, dosis única + Doxiciclina 100 mg, dos veces al día durante 7 días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Uretritis recurrente o persistente (descartada infección por N. gonorrhoeae y C. trachomatis)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Metronidazol 2 g, dosis única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Tinidazol 2 g, dosis única más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Azitromicina 1 g, dosis única (si no se había utilizado para el episodio inicial)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Vaginosis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Metronidazol 500 mg, dos veces al día durante 7 días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970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Bacteriana </w:t>
            </w:r>
          </w:p>
        </w:tc>
        <w:tc>
          <w:tcPr>
            <w:tcW w:w="7177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Metronidazol gel 0.75%, una vez al día durante 5 días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Clindamicina crema 5%, una vez al día durante 7 días Regímenes alternativos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Clindamicina 300 mg, dos veces al día durante 7 días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Clindamicina óvulos vaginales 100 mg, uno diario durante 3 días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Tinidazol 2 g, una vez al día durante 2 días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1951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Verrugas genitales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Tratamiento tópico aplicado por el paciente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Podofilotoxina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0.5% solución o crema cada 12 h durante 3 días; descansar 4 días, y aplicar un máximo de 4 ciclos (no deben superarse un área de 10cm2 o un volumen de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podofilotoxina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0,5 ml). Puede provocar irritación local y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esta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contraindicado en lesiones mucosas y en el embarazo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Imiquimod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5% crema 3 veces por semana durante 16 semanas como máximo (lavar al cabo de 6-10 h). Puede provocar irritación. Contraindicado en el embarazo Tratamiento aplicado por el profesional sanitario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Crioterapia (nitrógeno líquido) cada 1 o 2 semanas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Podofilino resina 10-25% (dejar secar y lavar al cabo de 4 h). Es teratógeno y está contraindicado en el embarazo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Acido tricloroacético o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bicloroacético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80-90%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Extirpación quirúrgica (raspado, electrocirugía, láser)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970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Vulvovaginitis 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Regímenes intravaginales </w:t>
            </w:r>
          </w:p>
        </w:tc>
      </w:tr>
      <w:tr w:rsidR="0094580E" w:rsidRPr="0094580E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candidiásica</w:t>
            </w:r>
            <w:proofErr w:type="spellEnd"/>
            <w:r w:rsidRPr="009458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77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4580E" w:rsidRPr="0094580E" w:rsidRDefault="0094580E" w:rsidP="009458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Clotrimazol 1% crema, durante 7-14 días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Clotrimazol 100 mg óvulos vaginales, durante 7 días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Miconazol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crema 2%, durante 7 días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Miconazol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100 mg óvulos vaginales, durante 7 días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Terconazol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crema 0.8%, durante 3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dias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Fenticonazol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200 mg óvulos durante 3 días 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600mg un día Régimen oral </w:t>
            </w:r>
            <w:r w:rsidRPr="0094580E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Fluconazol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150 mg dosis única </w:t>
            </w:r>
            <w:r w:rsidRPr="0094580E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proofErr w:type="spellStart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>Itraconazol</w:t>
            </w:r>
            <w:proofErr w:type="spellEnd"/>
            <w:r w:rsidRPr="0094580E">
              <w:rPr>
                <w:rFonts w:ascii="Arial" w:hAnsi="Arial" w:cs="Arial"/>
                <w:color w:val="000000"/>
                <w:sz w:val="20"/>
                <w:szCs w:val="20"/>
              </w:rPr>
              <w:t xml:space="preserve"> 200 mg, una vez al día durante 3 días </w:t>
            </w:r>
          </w:p>
        </w:tc>
      </w:tr>
    </w:tbl>
    <w:p w:rsidR="0094580E" w:rsidRDefault="0094580E"/>
    <w:p w:rsidR="0094580E" w:rsidRDefault="0094580E"/>
    <w:sectPr w:rsidR="00945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5C"/>
    <w:rsid w:val="00710860"/>
    <w:rsid w:val="008F1F69"/>
    <w:rsid w:val="0094580E"/>
    <w:rsid w:val="00F6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BF841F-F91A-4675-BBFD-65D7033D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458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890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2017-03-20T23:35:00Z</dcterms:created>
  <dcterms:modified xsi:type="dcterms:W3CDTF">2017-03-20T23:45:00Z</dcterms:modified>
</cp:coreProperties>
</file>